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5" w:rsidRDefault="009C7115">
      <w:pPr>
        <w:pStyle w:val="20"/>
        <w:shd w:val="clear" w:color="auto" w:fill="auto"/>
        <w:spacing w:after="349"/>
        <w:rPr>
          <w:lang w:val="en-US"/>
        </w:rPr>
      </w:pPr>
      <w:r>
        <w:t xml:space="preserve">РОССИЙСКАЯ ФЕДЕРАЦИЯ </w:t>
      </w:r>
    </w:p>
    <w:p w:rsidR="009C7115" w:rsidRDefault="009C7115">
      <w:pPr>
        <w:pStyle w:val="20"/>
        <w:shd w:val="clear" w:color="auto" w:fill="auto"/>
        <w:spacing w:after="349"/>
        <w:rPr>
          <w:lang w:val="en-US"/>
        </w:rPr>
      </w:pPr>
      <w:r>
        <w:t>БРЯНСКАЯ ОБЛАСТЬ КОМАРИЧСКИЙ РАЙОН</w:t>
      </w:r>
    </w:p>
    <w:p w:rsidR="009C7115" w:rsidRDefault="009C7115">
      <w:pPr>
        <w:pStyle w:val="20"/>
        <w:shd w:val="clear" w:color="auto" w:fill="auto"/>
        <w:spacing w:after="349"/>
        <w:rPr>
          <w:lang w:val="en-US"/>
        </w:rPr>
      </w:pPr>
      <w:r>
        <w:t xml:space="preserve"> БЫХОВСКОЕ СЕЛЬСКОЕ ПОСЕЛЕНИЕ</w:t>
      </w:r>
    </w:p>
    <w:p w:rsidR="00C53D6E" w:rsidRDefault="009C7115">
      <w:pPr>
        <w:pStyle w:val="20"/>
        <w:shd w:val="clear" w:color="auto" w:fill="auto"/>
        <w:spacing w:after="349"/>
      </w:pPr>
      <w:bookmarkStart w:id="0" w:name="_GoBack"/>
      <w:bookmarkEnd w:id="0"/>
      <w:r>
        <w:t xml:space="preserve"> БЫХОВСКИЙ СЕЛЬСКИЙ СОВЕТ НАРОДНЫХ ДЕПУТАТОВ</w:t>
      </w:r>
    </w:p>
    <w:p w:rsidR="00C53D6E" w:rsidRDefault="009C7115">
      <w:pPr>
        <w:pStyle w:val="20"/>
        <w:shd w:val="clear" w:color="auto" w:fill="auto"/>
        <w:spacing w:after="911" w:line="260" w:lineRule="exact"/>
      </w:pPr>
      <w:r>
        <w:t>РЕШЕНИЕ</w:t>
      </w:r>
    </w:p>
    <w:p w:rsidR="00C53D6E" w:rsidRDefault="009C7115">
      <w:pPr>
        <w:pStyle w:val="3"/>
        <w:shd w:val="clear" w:color="auto" w:fill="auto"/>
        <w:spacing w:before="0" w:after="303" w:line="260" w:lineRule="exact"/>
        <w:ind w:left="120"/>
      </w:pPr>
      <w:r>
        <w:t>19. 10. 2015 г. №3-65</w:t>
      </w:r>
    </w:p>
    <w:p w:rsidR="00C53D6E" w:rsidRDefault="009C7115">
      <w:pPr>
        <w:pStyle w:val="3"/>
        <w:shd w:val="clear" w:color="auto" w:fill="auto"/>
        <w:spacing w:before="0" w:after="300" w:line="322" w:lineRule="exact"/>
        <w:ind w:left="120" w:right="6660"/>
      </w:pPr>
      <w:r>
        <w:t>О налоге на имущество физических лиц</w:t>
      </w:r>
      <w:proofErr w:type="gramStart"/>
      <w:r>
        <w:t xml:space="preserve"> .</w:t>
      </w:r>
      <w:proofErr w:type="gramEnd"/>
    </w:p>
    <w:p w:rsidR="00C53D6E" w:rsidRDefault="009C7115">
      <w:pPr>
        <w:pStyle w:val="3"/>
        <w:shd w:val="clear" w:color="auto" w:fill="auto"/>
        <w:spacing w:before="0" w:after="0" w:line="322" w:lineRule="exact"/>
        <w:ind w:left="120" w:right="120" w:firstLine="720"/>
        <w:jc w:val="both"/>
      </w:pPr>
      <w:proofErr w:type="gramStart"/>
      <w:r>
        <w:t xml:space="preserve">В соответствии с Федеральным законом от 06.10.2003г. </w:t>
      </w:r>
      <w:r>
        <w:rPr>
          <w:lang w:val="en-US" w:eastAsia="en-US" w:bidi="en-US"/>
        </w:rPr>
        <w:t>N</w:t>
      </w:r>
      <w:r w:rsidRPr="009C7115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главой 32 «Налог на имущество физических лиц» Налогового кодекса Российской Федерации, Законом Брянской области от 28.09.2015 № 80-3 «Об установлении единой даты начала</w:t>
      </w:r>
      <w:r>
        <w:t xml:space="preserve"> применения на территории Брянской области порядка определения налоговой базы по налогу на имущество физических лиц исходя из кадастровой стоимости</w:t>
      </w:r>
      <w:proofErr w:type="gramEnd"/>
      <w:r>
        <w:t xml:space="preserve"> объектов налогообложения», руководствуясь Уставом Быховского сельского поселения Быховский сельский Совет на</w:t>
      </w:r>
      <w:r>
        <w:t>родных депутатов</w:t>
      </w:r>
    </w:p>
    <w:p w:rsidR="00C53D6E" w:rsidRDefault="009C7115">
      <w:pPr>
        <w:pStyle w:val="3"/>
        <w:shd w:val="clear" w:color="auto" w:fill="auto"/>
        <w:spacing w:before="0" w:after="0" w:line="322" w:lineRule="exact"/>
        <w:ind w:left="120" w:firstLine="720"/>
        <w:jc w:val="both"/>
      </w:pPr>
      <w:r>
        <w:t>решил:</w:t>
      </w:r>
    </w:p>
    <w:p w:rsidR="00C53D6E" w:rsidRDefault="009C7115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left="120" w:right="120" w:firstLine="720"/>
        <w:jc w:val="both"/>
      </w:pPr>
      <w:r>
        <w:t xml:space="preserve"> Установить и ввести в действие с 1 января 2016 года на территории Быховского сельского поселения </w:t>
      </w:r>
      <w:proofErr w:type="spellStart"/>
      <w:r>
        <w:t>Комаричского</w:t>
      </w:r>
      <w:proofErr w:type="spellEnd"/>
      <w:r>
        <w:t xml:space="preserve"> муниципального района Брянской области налог на имущество физических лиц (далее - налог).</w:t>
      </w:r>
    </w:p>
    <w:p w:rsidR="00C53D6E" w:rsidRDefault="009C7115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left="120" w:right="120" w:firstLine="720"/>
        <w:jc w:val="both"/>
      </w:pPr>
      <w:r>
        <w:t xml:space="preserve"> Установить ставки </w:t>
      </w:r>
      <w:proofErr w:type="gramStart"/>
      <w:r>
        <w:t>налога</w:t>
      </w:r>
      <w:proofErr w:type="gramEnd"/>
      <w:r>
        <w:t xml:space="preserve"> на им</w:t>
      </w:r>
      <w:r>
        <w:t>ущество физических лиц исходя из кадастровой стоимости объекта налогообложения в отношении:</w:t>
      </w:r>
    </w:p>
    <w:p w:rsidR="00C53D6E" w:rsidRDefault="009C7115">
      <w:pPr>
        <w:pStyle w:val="3"/>
        <w:shd w:val="clear" w:color="auto" w:fill="auto"/>
        <w:spacing w:before="0" w:after="236" w:line="322" w:lineRule="exact"/>
        <w:ind w:left="120" w:right="120" w:firstLine="720"/>
        <w:jc w:val="both"/>
      </w:pPr>
      <w:proofErr w:type="gramStart"/>
      <w:r>
        <w:t xml:space="preserve">2.1.жилых домов, жилых помещений (квартира, комната), единых недвижимых комплексов, в состав которых входит хотя бы одно жилое помещение (жилой дом), а также в </w:t>
      </w:r>
      <w:r>
        <w:t>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</w:t>
      </w:r>
      <w:r>
        <w:t>дивидуального</w:t>
      </w:r>
      <w:proofErr w:type="gramEnd"/>
      <w:r>
        <w:t xml:space="preserve"> жилищного строительства, в следующих размерах: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6"/>
        <w:gridCol w:w="3230"/>
      </w:tblGrid>
      <w:tr w:rsidR="00C53D6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Кадастровая стоимость объекта налогообложения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Ставка налога</w:t>
            </w:r>
          </w:p>
        </w:tc>
      </w:tr>
      <w:tr w:rsidR="00C53D6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До 2,5 млн. рублей (включительно)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0,1 процента</w:t>
            </w:r>
          </w:p>
        </w:tc>
      </w:tr>
      <w:tr w:rsidR="00C53D6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rPr>
                <w:rStyle w:val="1"/>
              </w:rPr>
              <w:t>Свыше 2,5 млн. рублей до 3,5 млн. рублей (включительно)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0,15 процента</w:t>
            </w:r>
          </w:p>
        </w:tc>
      </w:tr>
    </w:tbl>
    <w:p w:rsidR="00C53D6E" w:rsidRDefault="00C53D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1"/>
        <w:gridCol w:w="3235"/>
      </w:tblGrid>
      <w:tr w:rsidR="00C53D6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lastRenderedPageBreak/>
              <w:t>Свыше 3,5 млн.</w:t>
            </w:r>
            <w:r>
              <w:t xml:space="preserve"> рублей до 5,0 млн. рублей (включительно)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t>0,2 процента</w:t>
            </w:r>
          </w:p>
        </w:tc>
      </w:tr>
      <w:tr w:rsidR="00C53D6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t>Свыше 5,0 млн. рублей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6E" w:rsidRDefault="009C711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t>0,3 процента</w:t>
            </w:r>
          </w:p>
        </w:tc>
      </w:tr>
    </w:tbl>
    <w:p w:rsidR="00C53D6E" w:rsidRDefault="00C53D6E">
      <w:pPr>
        <w:rPr>
          <w:sz w:val="2"/>
          <w:szCs w:val="2"/>
        </w:rPr>
      </w:pPr>
    </w:p>
    <w:p w:rsidR="00C53D6E" w:rsidRDefault="009C7115">
      <w:pPr>
        <w:pStyle w:val="3"/>
        <w:numPr>
          <w:ilvl w:val="0"/>
          <w:numId w:val="2"/>
        </w:numPr>
        <w:shd w:val="clear" w:color="auto" w:fill="auto"/>
        <w:spacing w:before="245" w:after="0" w:line="322" w:lineRule="exact"/>
        <w:ind w:left="120" w:right="120" w:firstLine="700"/>
        <w:jc w:val="both"/>
      </w:pPr>
      <w:r>
        <w:t xml:space="preserve"> гаражей и </w:t>
      </w:r>
      <w:proofErr w:type="spellStart"/>
      <w:r>
        <w:t>машино</w:t>
      </w:r>
      <w:proofErr w:type="spellEnd"/>
      <w:r>
        <w:t>-мест - в размере 0,1 процента кадастровой стоимости объекта налогообложения;</w:t>
      </w:r>
    </w:p>
    <w:p w:rsidR="00C53D6E" w:rsidRDefault="009C7115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120" w:right="120" w:firstLine="700"/>
        <w:jc w:val="both"/>
      </w:pPr>
      <w:r>
        <w:t xml:space="preserve"> 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C53D6E" w:rsidRDefault="009C7115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120" w:right="120" w:firstLine="700"/>
        <w:jc w:val="both"/>
      </w:pPr>
      <w:r>
        <w:t xml:space="preserve"> объектов налогообложения, включенных в перечень, определяемый в соот</w:t>
      </w:r>
      <w:r>
        <w:t>ветствии с пунктом 7 статьи 378.2 Налогового кодекса Российской Федерации, в 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</w:t>
      </w:r>
      <w:r>
        <w:t xml:space="preserve"> кадастровая стоимость каждого из которых превышает 300 млн. рублей, - в размере 2,0 процентов кадастровой стоимости объекта налогообложения;</w:t>
      </w:r>
    </w:p>
    <w:p w:rsidR="00C53D6E" w:rsidRDefault="009C7115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120" w:right="120" w:firstLine="700"/>
        <w:jc w:val="both"/>
      </w:pPr>
      <w:r>
        <w:t xml:space="preserve"> прочих объектов налогообложения - в размере 0,5 процента кадастровой стоимости объекта налогообложения.</w:t>
      </w:r>
    </w:p>
    <w:p w:rsidR="00C53D6E" w:rsidRDefault="009C7115">
      <w:pPr>
        <w:pStyle w:val="3"/>
        <w:numPr>
          <w:ilvl w:val="0"/>
          <w:numId w:val="3"/>
        </w:numPr>
        <w:shd w:val="clear" w:color="auto" w:fill="auto"/>
        <w:spacing w:before="0" w:after="0" w:line="322" w:lineRule="exact"/>
        <w:ind w:left="120" w:right="120" w:firstLine="700"/>
        <w:jc w:val="both"/>
      </w:pPr>
      <w:r>
        <w:t xml:space="preserve"> Налог по</w:t>
      </w:r>
      <w:r>
        <w:t>длежит уплате налогоплательщиками в срок не позднее 1 октября года, следующего за истекшим налоговым периодом.</w:t>
      </w:r>
    </w:p>
    <w:p w:rsidR="00C53D6E" w:rsidRDefault="009C7115">
      <w:pPr>
        <w:pStyle w:val="3"/>
        <w:numPr>
          <w:ilvl w:val="0"/>
          <w:numId w:val="3"/>
        </w:numPr>
        <w:shd w:val="clear" w:color="auto" w:fill="auto"/>
        <w:spacing w:before="0" w:after="0" w:line="322" w:lineRule="exact"/>
        <w:ind w:left="120" w:right="120" w:firstLine="700"/>
        <w:jc w:val="both"/>
      </w:pPr>
      <w:r>
        <w:t xml:space="preserve"> Признать утратившим силу Решение Быховского сельского Совета народных депутатов от 29.10.2014г. №3-34 "О налоге на имущество физических лиц».</w:t>
      </w:r>
    </w:p>
    <w:p w:rsidR="00C53D6E" w:rsidRDefault="009C7115">
      <w:pPr>
        <w:pStyle w:val="3"/>
        <w:numPr>
          <w:ilvl w:val="0"/>
          <w:numId w:val="3"/>
        </w:numPr>
        <w:shd w:val="clear" w:color="auto" w:fill="auto"/>
        <w:spacing w:before="0" w:after="0" w:line="322" w:lineRule="exact"/>
        <w:ind w:left="120" w:right="120" w:firstLine="700"/>
        <w:jc w:val="both"/>
      </w:pPr>
      <w:r>
        <w:t xml:space="preserve"> Н</w:t>
      </w:r>
      <w:r>
        <w:t>астоящее Решение вступает в силу с 1 января 2016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C53D6E" w:rsidRDefault="009C7115">
      <w:pPr>
        <w:framePr w:h="3125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</w:instrText>
      </w:r>
      <w:r>
        <w:instrText>buh3\\AppData\\Local\\Temp\\FineReader11.00\\media\\image1.jpeg"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156.9pt">
            <v:imagedata r:id="rId8" r:href="rId9"/>
          </v:shape>
        </w:pict>
      </w:r>
      <w:r>
        <w:fldChar w:fldCharType="end"/>
      </w:r>
    </w:p>
    <w:p w:rsidR="00C53D6E" w:rsidRDefault="00C53D6E">
      <w:pPr>
        <w:rPr>
          <w:sz w:val="2"/>
          <w:szCs w:val="2"/>
        </w:rPr>
      </w:pPr>
    </w:p>
    <w:p w:rsidR="00C53D6E" w:rsidRDefault="00C53D6E">
      <w:pPr>
        <w:rPr>
          <w:sz w:val="2"/>
          <w:szCs w:val="2"/>
        </w:rPr>
        <w:sectPr w:rsidR="00C53D6E">
          <w:type w:val="continuous"/>
          <w:pgSz w:w="11909" w:h="16838"/>
          <w:pgMar w:top="932" w:right="1161" w:bottom="932" w:left="1161" w:header="0" w:footer="3" w:gutter="0"/>
          <w:cols w:space="720"/>
          <w:noEndnote/>
          <w:docGrid w:linePitch="360"/>
        </w:sectPr>
      </w:pPr>
    </w:p>
    <w:p w:rsidR="00C53D6E" w:rsidRDefault="00C53D6E">
      <w:pPr>
        <w:pStyle w:val="3"/>
        <w:shd w:val="clear" w:color="auto" w:fill="auto"/>
        <w:spacing w:before="0" w:after="0" w:line="260" w:lineRule="exact"/>
        <w:ind w:left="20"/>
      </w:pPr>
    </w:p>
    <w:sectPr w:rsidR="00C53D6E">
      <w:type w:val="continuous"/>
      <w:pgSz w:w="11909" w:h="16838"/>
      <w:pgMar w:top="2289" w:right="1277" w:bottom="3364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15" w:rsidRDefault="009C7115">
      <w:r>
        <w:separator/>
      </w:r>
    </w:p>
  </w:endnote>
  <w:endnote w:type="continuationSeparator" w:id="0">
    <w:p w:rsidR="009C7115" w:rsidRDefault="009C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15" w:rsidRDefault="009C7115"/>
  </w:footnote>
  <w:footnote w:type="continuationSeparator" w:id="0">
    <w:p w:rsidR="009C7115" w:rsidRDefault="009C71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B47"/>
    <w:multiLevelType w:val="multilevel"/>
    <w:tmpl w:val="2924C1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472C1"/>
    <w:multiLevelType w:val="multilevel"/>
    <w:tmpl w:val="3006E1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91F0D"/>
    <w:multiLevelType w:val="multilevel"/>
    <w:tmpl w:val="C4B861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8A058A"/>
    <w:multiLevelType w:val="multilevel"/>
    <w:tmpl w:val="64FA5A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066E35"/>
    <w:multiLevelType w:val="multilevel"/>
    <w:tmpl w:val="606A4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3D6E"/>
    <w:rsid w:val="009C7115"/>
    <w:rsid w:val="00C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buh3\AppData\Local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2019-06-03T06:35:00Z</dcterms:created>
  <dcterms:modified xsi:type="dcterms:W3CDTF">2019-06-03T06:38:00Z</dcterms:modified>
</cp:coreProperties>
</file>